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C81A6A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VIXALIT</w:t>
      </w:r>
    </w:p>
    <w:p w:rsidR="00C81A6A" w:rsidRPr="00C81A6A" w:rsidRDefault="00C81A6A" w:rsidP="00C81A6A">
      <w:pPr>
        <w:jc w:val="both"/>
        <w:rPr>
          <w:rFonts w:ascii="Arial" w:eastAsiaTheme="minorHAnsi" w:hAnsi="Arial" w:cs="Arial"/>
        </w:rPr>
      </w:pPr>
      <w:r w:rsidRPr="00C81A6A">
        <w:rPr>
          <w:rFonts w:ascii="Arial" w:eastAsiaTheme="minorHAnsi" w:hAnsi="Arial" w:cs="Arial"/>
        </w:rPr>
        <w:t>Applicazione di tinteggio colorato VIXALIT composto da grassello di calce lungamente stagionata e perfettamente estinta, inerti finissimi e terre colorate, da applicare su superfici verticali e orizzontali, del colore scelto dalla DL.</w:t>
      </w:r>
    </w:p>
    <w:p w:rsidR="00C81A6A" w:rsidRPr="00C81A6A" w:rsidRDefault="00C81A6A" w:rsidP="00C81A6A">
      <w:pPr>
        <w:jc w:val="both"/>
        <w:rPr>
          <w:rFonts w:ascii="Arial" w:eastAsiaTheme="minorHAnsi" w:hAnsi="Arial" w:cs="Arial"/>
        </w:rPr>
      </w:pPr>
      <w:r w:rsidRPr="00C81A6A">
        <w:rPr>
          <w:rFonts w:ascii="Arial" w:eastAsiaTheme="minorHAnsi" w:hAnsi="Arial" w:cs="Arial"/>
        </w:rPr>
        <w:t>Il supporto deve essere complanare, assorbente, omogeneo, privo di polvere, tracce di sporco e salnitro.</w:t>
      </w:r>
    </w:p>
    <w:p w:rsidR="00C81A6A" w:rsidRPr="00C81A6A" w:rsidRDefault="00C81A6A" w:rsidP="00C81A6A">
      <w:pPr>
        <w:jc w:val="both"/>
        <w:rPr>
          <w:rFonts w:ascii="Arial" w:eastAsiaTheme="minorHAnsi" w:hAnsi="Arial" w:cs="Arial"/>
        </w:rPr>
      </w:pPr>
      <w:r w:rsidRPr="00C81A6A">
        <w:rPr>
          <w:rFonts w:ascii="Arial" w:eastAsiaTheme="minorHAnsi" w:hAnsi="Arial" w:cs="Arial"/>
        </w:rPr>
        <w:t xml:space="preserve">Rimescolare VIXALIT nel secchio, applicare a pennello in due mani, diluite con acqua pulita al 30/40 %.  </w:t>
      </w:r>
    </w:p>
    <w:p w:rsidR="00C81A6A" w:rsidRPr="00C81A6A" w:rsidRDefault="00C81A6A" w:rsidP="00C81A6A">
      <w:pPr>
        <w:jc w:val="both"/>
        <w:rPr>
          <w:rFonts w:ascii="Arial" w:eastAsiaTheme="minorHAnsi" w:hAnsi="Arial" w:cs="Arial"/>
        </w:rPr>
      </w:pPr>
      <w:r w:rsidRPr="00C81A6A">
        <w:rPr>
          <w:rFonts w:ascii="Arial" w:eastAsiaTheme="minorHAnsi" w:hAnsi="Arial" w:cs="Arial"/>
        </w:rPr>
        <w:t>Il consumo indicativo di VIXALIT è di 0,2-0,3 l</w:t>
      </w:r>
      <w:bookmarkStart w:id="0" w:name="_GoBack"/>
      <w:bookmarkEnd w:id="0"/>
      <w:r>
        <w:rPr>
          <w:rFonts w:ascii="Arial" w:eastAsiaTheme="minorHAnsi" w:hAnsi="Arial" w:cs="Arial"/>
        </w:rPr>
        <w:t xml:space="preserve"> il m</w:t>
      </w:r>
      <w:r>
        <w:rPr>
          <w:rFonts w:ascii="Arial" w:eastAsiaTheme="minorHAnsi" w:hAnsi="Arial" w:cs="Arial"/>
          <w:vertAlign w:val="superscript"/>
        </w:rPr>
        <w:t>2</w:t>
      </w:r>
      <w:r w:rsidRPr="00C81A6A">
        <w:rPr>
          <w:rFonts w:ascii="Arial" w:eastAsiaTheme="minorHAnsi" w:hAnsi="Arial" w:cs="Arial"/>
        </w:rPr>
        <w:t xml:space="preserve"> a seconda della natura del supporto.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C81A6A" w:rsidRPr="00C81A6A" w:rsidTr="00F92A23">
        <w:trPr>
          <w:trHeight w:val="65"/>
        </w:trPr>
        <w:tc>
          <w:tcPr>
            <w:tcW w:w="9527" w:type="dxa"/>
            <w:hideMark/>
          </w:tcPr>
          <w:p w:rsidR="00C81A6A" w:rsidRPr="00C81A6A" w:rsidRDefault="00C81A6A" w:rsidP="00C81A6A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C81A6A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C81A6A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</w:tbl>
    <w:p w:rsidR="00834617" w:rsidRPr="0049541E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49541E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9A603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9A603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9A603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9A603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A603F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528A-6425-4377-A1CE-617FCDA7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14</cp:revision>
  <cp:lastPrinted>2014-03-25T09:52:00Z</cp:lastPrinted>
  <dcterms:created xsi:type="dcterms:W3CDTF">2015-08-03T14:48:00Z</dcterms:created>
  <dcterms:modified xsi:type="dcterms:W3CDTF">2015-09-08T08:34:00Z</dcterms:modified>
</cp:coreProperties>
</file>