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BB31A4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VISOLSILICA OT FINE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A463F0" w:rsidRPr="00A463F0" w:rsidTr="00BA458C">
        <w:trPr>
          <w:trHeight w:val="65"/>
        </w:trPr>
        <w:tc>
          <w:tcPr>
            <w:tcW w:w="9527" w:type="dxa"/>
          </w:tcPr>
          <w:p w:rsidR="0091012D" w:rsidRPr="0091012D" w:rsidRDefault="0091012D" w:rsidP="0091012D">
            <w:pPr>
              <w:jc w:val="both"/>
              <w:rPr>
                <w:rFonts w:ascii="Century Gothic" w:eastAsiaTheme="minorHAnsi" w:hAnsi="Century Gothic" w:cs="Arial"/>
                <w:szCs w:val="24"/>
              </w:rPr>
            </w:pPr>
          </w:p>
          <w:p w:rsidR="00BB31A4" w:rsidRPr="00BB31A4" w:rsidRDefault="00BB31A4" w:rsidP="00BB31A4">
            <w:pPr>
              <w:jc w:val="both"/>
              <w:rPr>
                <w:rFonts w:ascii="Century Gothic" w:eastAsiaTheme="minorHAnsi" w:hAnsi="Century Gothic" w:cs="Arial"/>
                <w:szCs w:val="24"/>
              </w:rPr>
            </w:pPr>
            <w:r w:rsidRPr="00BB31A4">
              <w:rPr>
                <w:rFonts w:ascii="Century Gothic" w:eastAsiaTheme="minorHAnsi" w:hAnsi="Century Gothic" w:cs="Arial"/>
                <w:szCs w:val="24"/>
              </w:rPr>
              <w:t>Applicazione di rivestimento riportato a spessore colorato in pasta FINE di granulometria VISOLSILICA OT FINE con granulometria di 1,0 mm del colore prescelto dalla D.L., composto da Silicato di Potassio, sabbie di opportuno arco granulometrico e additivi specifici, conforme alla Norma DIN 18363.</w:t>
            </w:r>
          </w:p>
          <w:p w:rsidR="00BB31A4" w:rsidRPr="00BB31A4" w:rsidRDefault="00BB31A4" w:rsidP="00BB31A4">
            <w:pPr>
              <w:jc w:val="both"/>
              <w:rPr>
                <w:rFonts w:ascii="Century Gothic" w:eastAsiaTheme="minorHAnsi" w:hAnsi="Century Gothic" w:cs="Arial"/>
                <w:szCs w:val="24"/>
              </w:rPr>
            </w:pPr>
            <w:r w:rsidRPr="00BB31A4">
              <w:rPr>
                <w:rFonts w:ascii="Century Gothic" w:eastAsiaTheme="minorHAnsi" w:hAnsi="Century Gothic" w:cs="Arial"/>
                <w:szCs w:val="24"/>
              </w:rPr>
              <w:t>VISOLSILICA OT è traspirante, insensibile all’azione delle intemperie e degli inquinanti e grazie all’elevata alcalinità del legante, è particolarmente resistente all’attacco di muffe e funghi. A tali peculiari caratteristiche, unisce effetti estetici di possibili vibrazioni cromatiche tipiche della migliore tradizione decorativa.</w:t>
            </w:r>
          </w:p>
          <w:p w:rsidR="00BB31A4" w:rsidRPr="00BB31A4" w:rsidRDefault="00BB31A4" w:rsidP="00BB31A4">
            <w:pPr>
              <w:jc w:val="both"/>
              <w:rPr>
                <w:rFonts w:ascii="Century Gothic" w:eastAsiaTheme="minorHAnsi" w:hAnsi="Century Gothic" w:cs="Arial"/>
                <w:szCs w:val="24"/>
              </w:rPr>
            </w:pPr>
            <w:r w:rsidRPr="00BB31A4">
              <w:rPr>
                <w:rFonts w:ascii="Century Gothic" w:eastAsiaTheme="minorHAnsi" w:hAnsi="Century Gothic" w:cs="Arial"/>
                <w:szCs w:val="24"/>
              </w:rPr>
              <w:t xml:space="preserve">L’applicazione si effettua su di un supporto perfettamente stagionato, asciutto, privo di tracce di sporco, olii, grassi, salnitro, preventivamente trattato almeno 24 ore prima, con il </w:t>
            </w:r>
            <w:proofErr w:type="spellStart"/>
            <w:r w:rsidRPr="00BB31A4">
              <w:rPr>
                <w:rFonts w:ascii="Century Gothic" w:eastAsiaTheme="minorHAnsi" w:hAnsi="Century Gothic" w:cs="Arial"/>
                <w:szCs w:val="24"/>
              </w:rPr>
              <w:t>primer</w:t>
            </w:r>
            <w:proofErr w:type="spellEnd"/>
            <w:r w:rsidRPr="00BB31A4">
              <w:rPr>
                <w:rFonts w:ascii="Century Gothic" w:eastAsiaTheme="minorHAnsi" w:hAnsi="Century Gothic" w:cs="Arial"/>
                <w:szCs w:val="24"/>
              </w:rPr>
              <w:t xml:space="preserve"> di sistema SILICA FOND</w:t>
            </w:r>
            <w:r w:rsidR="007E7BC9">
              <w:rPr>
                <w:rFonts w:ascii="Century Gothic" w:eastAsiaTheme="minorHAnsi" w:hAnsi="Century Gothic" w:cs="Arial"/>
                <w:szCs w:val="24"/>
              </w:rPr>
              <w:t>O</w:t>
            </w:r>
            <w:r w:rsidRPr="00BB31A4">
              <w:rPr>
                <w:rFonts w:ascii="Century Gothic" w:eastAsiaTheme="minorHAnsi" w:hAnsi="Century Gothic" w:cs="Arial"/>
                <w:szCs w:val="24"/>
              </w:rPr>
              <w:t xml:space="preserve"> SD </w:t>
            </w:r>
            <w:r w:rsidRPr="00BB31A4">
              <w:rPr>
                <w:rFonts w:ascii="Century Gothic" w:eastAsiaTheme="minorHAnsi" w:hAnsi="Century Gothic" w:cs="Arial"/>
                <w:color w:val="FF0000"/>
                <w:szCs w:val="24"/>
              </w:rPr>
              <w:t>(in presenza di fondi non omogenei o lievemente irregolari VIEROGRIP PLUS).</w:t>
            </w:r>
          </w:p>
          <w:p w:rsidR="00BB31A4" w:rsidRPr="00BB31A4" w:rsidRDefault="00BB31A4" w:rsidP="00BB31A4">
            <w:pPr>
              <w:jc w:val="both"/>
              <w:rPr>
                <w:rFonts w:ascii="Century Gothic" w:eastAsiaTheme="minorHAnsi" w:hAnsi="Century Gothic" w:cs="Arial"/>
                <w:szCs w:val="24"/>
              </w:rPr>
            </w:pPr>
            <w:r w:rsidRPr="00BB31A4">
              <w:rPr>
                <w:rFonts w:ascii="Century Gothic" w:eastAsiaTheme="minorHAnsi" w:hAnsi="Century Gothic" w:cs="Arial"/>
                <w:szCs w:val="24"/>
              </w:rPr>
              <w:t xml:space="preserve">Il consumo indicativo di VISOLSILICA OT FINE </w:t>
            </w:r>
            <w:r w:rsidRPr="00BB31A4">
              <w:rPr>
                <w:rFonts w:ascii="Century Gothic" w:eastAsiaTheme="minorHAnsi" w:hAnsi="Century Gothic" w:cs="Arial"/>
                <w:szCs w:val="24"/>
              </w:rPr>
              <w:t>è di 1,7/1,9 Kg/m</w:t>
            </w:r>
            <w:r w:rsidRPr="00BB31A4">
              <w:rPr>
                <w:rFonts w:ascii="Century Gothic" w:eastAsiaTheme="minorHAnsi" w:hAnsi="Century Gothic" w:cs="Arial"/>
                <w:szCs w:val="24"/>
                <w:vertAlign w:val="superscript"/>
              </w:rPr>
              <w:t>2</w:t>
            </w:r>
            <w:r w:rsidRPr="00BB31A4">
              <w:rPr>
                <w:rFonts w:ascii="Century Gothic" w:eastAsiaTheme="minorHAnsi" w:hAnsi="Century Gothic" w:cs="Arial"/>
                <w:szCs w:val="24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BB31A4" w:rsidRPr="00BB31A4" w:rsidTr="00BA458C">
              <w:trPr>
                <w:trHeight w:val="65"/>
              </w:trPr>
              <w:tc>
                <w:tcPr>
                  <w:tcW w:w="9527" w:type="dxa"/>
                  <w:hideMark/>
                </w:tcPr>
                <w:p w:rsidR="00BB31A4" w:rsidRPr="00BB31A4" w:rsidRDefault="00BB31A4" w:rsidP="00BB31A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Theme="minorHAnsi" w:hAnsi="Century Gothic" w:cs="Arial"/>
                      <w:color w:val="000000"/>
                    </w:rPr>
                  </w:pPr>
                  <w:r w:rsidRPr="00BB31A4">
                    <w:rPr>
                      <w:rFonts w:ascii="Century Gothic" w:eastAsiaTheme="minorHAnsi" w:hAnsi="Century Gothic" w:cs="Arial"/>
                      <w:color w:val="000000"/>
                    </w:rPr>
                    <w:t>Prezz</w:t>
                  </w:r>
                  <w:r>
                    <w:rPr>
                      <w:rFonts w:ascii="Century Gothic" w:eastAsiaTheme="minorHAnsi" w:hAnsi="Century Gothic" w:cs="Arial"/>
                      <w:color w:val="000000"/>
                    </w:rPr>
                    <w:t xml:space="preserve">o in opera di € __________ al </w:t>
                  </w:r>
                  <w:bookmarkStart w:id="0" w:name="_GoBack"/>
                  <w:bookmarkEnd w:id="0"/>
                  <w:r>
                    <w:rPr>
                      <w:rFonts w:ascii="Century Gothic" w:eastAsiaTheme="minorHAnsi" w:hAnsi="Century Gothic" w:cs="Arial"/>
                      <w:color w:val="000000"/>
                    </w:rPr>
                    <w:t>m</w:t>
                  </w:r>
                  <w:r>
                    <w:rPr>
                      <w:rFonts w:ascii="Century Gothic" w:eastAsiaTheme="minorHAnsi" w:hAnsi="Century Gothic" w:cs="Arial"/>
                      <w:color w:val="000000"/>
                      <w:vertAlign w:val="superscript"/>
                    </w:rPr>
                    <w:t>2</w:t>
                  </w:r>
                  <w:r w:rsidRPr="00BB31A4">
                    <w:rPr>
                      <w:rFonts w:ascii="Century Gothic" w:eastAsiaTheme="minorHAnsi" w:hAnsi="Century Gothic" w:cs="Arial"/>
                      <w:color w:val="000000"/>
                    </w:rPr>
                    <w:t xml:space="preserve"> compreso materiali, manodopera, escluso ponteggi, protezioni ed eventuali preparazioni della superficie. </w:t>
                  </w:r>
                </w:p>
              </w:tc>
            </w:tr>
            <w:tr w:rsidR="00BB31A4" w:rsidRPr="00BB31A4" w:rsidTr="00BA458C">
              <w:trPr>
                <w:trHeight w:val="65"/>
              </w:trPr>
              <w:tc>
                <w:tcPr>
                  <w:tcW w:w="9527" w:type="dxa"/>
                </w:tcPr>
                <w:p w:rsidR="00BB31A4" w:rsidRPr="00BB31A4" w:rsidRDefault="00BB31A4" w:rsidP="00BB31A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Theme="minorHAnsi" w:hAnsi="Century Gothic" w:cs="Arial"/>
                      <w:color w:val="000000"/>
                    </w:rPr>
                  </w:pPr>
                </w:p>
              </w:tc>
            </w:tr>
          </w:tbl>
          <w:p w:rsidR="00A463F0" w:rsidRPr="00A463F0" w:rsidRDefault="00A463F0" w:rsidP="0091012D">
            <w:pPr>
              <w:spacing w:after="0" w:line="240" w:lineRule="auto"/>
              <w:rPr>
                <w:rFonts w:ascii="Century Gothic" w:eastAsiaTheme="minorHAnsi" w:hAnsi="Century Gothic" w:cs="Arial"/>
                <w:color w:val="000000"/>
              </w:rPr>
            </w:pPr>
          </w:p>
        </w:tc>
      </w:tr>
    </w:tbl>
    <w:p w:rsidR="00A463F0" w:rsidRPr="00A463F0" w:rsidRDefault="00A463F0" w:rsidP="00A463F0">
      <w:pPr>
        <w:jc w:val="both"/>
        <w:rPr>
          <w:rFonts w:ascii="Century Gothic" w:eastAsiaTheme="minorHAnsi" w:hAnsi="Century Gothic" w:cs="Arial"/>
          <w:szCs w:val="24"/>
        </w:rPr>
      </w:pPr>
    </w:p>
    <w:p w:rsidR="00834617" w:rsidRPr="00E3502D" w:rsidRDefault="00834617" w:rsidP="00834617">
      <w:pPr>
        <w:tabs>
          <w:tab w:val="left" w:pos="8844"/>
        </w:tabs>
        <w:rPr>
          <w:rFonts w:ascii="Arial" w:hAnsi="Arial" w:cs="Arial"/>
          <w:b/>
          <w:sz w:val="36"/>
        </w:rPr>
      </w:pPr>
    </w:p>
    <w:sectPr w:rsidR="00834617" w:rsidRPr="00E3502D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7E7BC9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7E7BC9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CB1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7E7BC9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7E7BC9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0D097E"/>
    <w:rsid w:val="001169A6"/>
    <w:rsid w:val="00165780"/>
    <w:rsid w:val="001A5ABF"/>
    <w:rsid w:val="00222FEB"/>
    <w:rsid w:val="00225BB5"/>
    <w:rsid w:val="00265C47"/>
    <w:rsid w:val="00302777"/>
    <w:rsid w:val="0038492E"/>
    <w:rsid w:val="003B4FFB"/>
    <w:rsid w:val="004239A6"/>
    <w:rsid w:val="0049541E"/>
    <w:rsid w:val="004C58BD"/>
    <w:rsid w:val="004F60EF"/>
    <w:rsid w:val="00521187"/>
    <w:rsid w:val="00590E69"/>
    <w:rsid w:val="005D7B67"/>
    <w:rsid w:val="006815C0"/>
    <w:rsid w:val="006959C8"/>
    <w:rsid w:val="006E0A88"/>
    <w:rsid w:val="006F0609"/>
    <w:rsid w:val="007543AB"/>
    <w:rsid w:val="00754D3B"/>
    <w:rsid w:val="00766A9F"/>
    <w:rsid w:val="00795240"/>
    <w:rsid w:val="007B775F"/>
    <w:rsid w:val="007E7BC9"/>
    <w:rsid w:val="007F18E4"/>
    <w:rsid w:val="007F4D1E"/>
    <w:rsid w:val="00802E5E"/>
    <w:rsid w:val="00834617"/>
    <w:rsid w:val="0085129C"/>
    <w:rsid w:val="008A4C41"/>
    <w:rsid w:val="008C775F"/>
    <w:rsid w:val="008D4BC6"/>
    <w:rsid w:val="0091012D"/>
    <w:rsid w:val="00924851"/>
    <w:rsid w:val="00956B52"/>
    <w:rsid w:val="009973CB"/>
    <w:rsid w:val="009A603F"/>
    <w:rsid w:val="009C64CA"/>
    <w:rsid w:val="00A12E24"/>
    <w:rsid w:val="00A463F0"/>
    <w:rsid w:val="00A4673E"/>
    <w:rsid w:val="00A573AF"/>
    <w:rsid w:val="00A659A9"/>
    <w:rsid w:val="00A91C07"/>
    <w:rsid w:val="00A9615E"/>
    <w:rsid w:val="00AB0417"/>
    <w:rsid w:val="00B22F82"/>
    <w:rsid w:val="00B414C0"/>
    <w:rsid w:val="00B86C4F"/>
    <w:rsid w:val="00BB31A4"/>
    <w:rsid w:val="00BD2957"/>
    <w:rsid w:val="00C370CA"/>
    <w:rsid w:val="00C46934"/>
    <w:rsid w:val="00C5155D"/>
    <w:rsid w:val="00C81A6A"/>
    <w:rsid w:val="00C81E15"/>
    <w:rsid w:val="00D04CE4"/>
    <w:rsid w:val="00D50AD2"/>
    <w:rsid w:val="00D767F4"/>
    <w:rsid w:val="00DB0061"/>
    <w:rsid w:val="00DC02E6"/>
    <w:rsid w:val="00DD5ED3"/>
    <w:rsid w:val="00E23528"/>
    <w:rsid w:val="00E3502D"/>
    <w:rsid w:val="00E4717E"/>
    <w:rsid w:val="00EC22A9"/>
    <w:rsid w:val="00ED4776"/>
    <w:rsid w:val="00F06860"/>
    <w:rsid w:val="00F06E59"/>
    <w:rsid w:val="00F61B4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F7A6-9E9F-48FF-A387-C7154D32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24</cp:revision>
  <cp:lastPrinted>2014-03-25T09:52:00Z</cp:lastPrinted>
  <dcterms:created xsi:type="dcterms:W3CDTF">2015-08-03T14:48:00Z</dcterms:created>
  <dcterms:modified xsi:type="dcterms:W3CDTF">2015-09-08T09:06:00Z</dcterms:modified>
</cp:coreProperties>
</file>